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jc w:val="center"/>
        <w:rPr>
          <w:rFonts w:hint="default" w:eastAsia="仿宋"/>
          <w:sz w:val="32"/>
          <w:szCs w:val="32"/>
          <w:lang w:val="en-US" w:eastAsia="zh-CN"/>
        </w:rPr>
      </w:pPr>
      <w:bookmarkStart w:id="0" w:name="_Toc101250640"/>
      <w:bookmarkStart w:id="1" w:name="_Toc183582232"/>
      <w:bookmarkStart w:id="2" w:name="_Toc101338358"/>
      <w:bookmarkStart w:id="3" w:name="_Toc183682369"/>
      <w:bookmarkStart w:id="4" w:name="_Toc430773924"/>
      <w:bookmarkStart w:id="5" w:name="_Toc209847065"/>
      <w:bookmarkStart w:id="6" w:name="_Toc101174146"/>
      <w:bookmarkStart w:id="7" w:name="_Toc217446057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设计评分标准明细表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68"/>
        <w:gridCol w:w="751"/>
        <w:gridCol w:w="5669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评分因素及权重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分值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评分标准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ind w:firstLine="2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ind w:firstLine="2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0%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ind w:firstLine="2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以满足磋商文件要求且最后报价最低的供应商的价格为磋商基准价，其价格分为满分。其他供应商磋商报价得分=（基准价/最后报价）×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0%×100。</w:t>
            </w:r>
          </w:p>
          <w:p>
            <w:pPr>
              <w:pStyle w:val="7"/>
              <w:widowControl/>
              <w:spacing w:line="312" w:lineRule="auto"/>
              <w:jc w:val="left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注：评分的取值按四舍五入法，保留小数点后两位。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共同评</w:t>
            </w:r>
          </w:p>
          <w:p>
            <w:pPr>
              <w:spacing w:line="312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ind w:firstLine="2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1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设计服务方案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sz w:val="24"/>
              </w:rPr>
              <w:t>%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42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根据供应商对本项目提供服务方案（应有但不限于：</w:t>
            </w:r>
          </w:p>
          <w:p>
            <w:pPr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①对工程项目的理解和建设条件的认识。</w:t>
            </w:r>
          </w:p>
          <w:p>
            <w:pPr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②基础资料的收集。</w:t>
            </w:r>
          </w:p>
          <w:p>
            <w:pPr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③设计方案及效果展示。</w:t>
            </w:r>
          </w:p>
          <w:p>
            <w:pPr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④项目重点、难点分析及合理化建议。</w:t>
            </w:r>
          </w:p>
          <w:p>
            <w:pPr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⑤工程经济合理性。</w:t>
            </w:r>
          </w:p>
          <w:p>
            <w:pPr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⑥设计质量、进度保证措施。</w:t>
            </w:r>
          </w:p>
          <w:p>
            <w:pPr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等进行综合评审，服务方案详细、内容明确、满足采购的实际需求且响应体系完整的得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sz w:val="24"/>
              </w:rPr>
              <w:t>分，每缺一项或者不能满足采购需求的一项扣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分；每有一项内容描述不够科学合理或内容不全面、不详细的扣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3.5</w:t>
            </w:r>
            <w:r>
              <w:rPr>
                <w:rFonts w:hint="eastAsia" w:ascii="仿宋" w:hAnsi="仿宋" w:eastAsia="仿宋" w:cs="仿宋"/>
                <w:sz w:val="24"/>
              </w:rPr>
              <w:t>分，扣完为止。</w:t>
            </w:r>
          </w:p>
          <w:p>
            <w:pPr>
              <w:spacing w:line="312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注：内容描述不够科学合理和不全面、不详细是指服务方案存在不适用项目实际情况的情形、套用其他方案、描述不完整、适用法律法规有错误或不完全适用、凭空编造、逻辑漏洞以及不可能实现的夸大情形等情况）。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共同评</w:t>
            </w:r>
          </w:p>
          <w:p>
            <w:pPr>
              <w:spacing w:line="31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1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售后服务方案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sz w:val="24"/>
              </w:rPr>
              <w:t>%</w:t>
            </w:r>
          </w:p>
          <w:p>
            <w:pPr>
              <w:spacing w:line="312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售后服务方案包含但不限于：</w:t>
            </w:r>
          </w:p>
          <w:p>
            <w:pPr>
              <w:spacing w:line="312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①后续服务人员配置。</w:t>
            </w:r>
          </w:p>
          <w:p>
            <w:pPr>
              <w:spacing w:line="312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②后续服务工作安排。</w:t>
            </w:r>
          </w:p>
          <w:p>
            <w:pPr>
              <w:spacing w:line="312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③后续服务承诺。</w:t>
            </w:r>
          </w:p>
          <w:p>
            <w:pPr>
              <w:spacing w:line="312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④后续服务保证措施。</w:t>
            </w:r>
          </w:p>
          <w:p>
            <w:pPr>
              <w:spacing w:line="312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本项目满分得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</w:rPr>
              <w:t>分，每缺一项扣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分,每有一处不完善或不满足实际情况的扣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sz w:val="24"/>
              </w:rPr>
              <w:t>分；本项扣完为止。</w:t>
            </w:r>
          </w:p>
          <w:p>
            <w:pPr>
              <w:spacing w:line="312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（注：以上不完善指内容只有简单的文字描述，前后内容无法连贯；不满足实际情况指内容脱离实际情况不具备实施的。）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共同评</w:t>
            </w:r>
          </w:p>
          <w:p>
            <w:pPr>
              <w:spacing w:line="312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6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ind w:firstLine="2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1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rPr>
                <w:rFonts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履约能力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%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312" w:lineRule="auto"/>
              <w:ind w:leftChars="0"/>
              <w:rPr>
                <w:rFonts w:ascii="仿宋" w:hAnsi="仿宋" w:eastAsia="仿宋" w:cs="仿宋"/>
                <w:snapToGrid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highlight w:val="none"/>
              </w:rPr>
              <w:t>1、供应商20</w:t>
            </w:r>
            <w:r>
              <w:rPr>
                <w:rFonts w:hint="eastAsia" w:ascii="仿宋" w:hAnsi="仿宋" w:eastAsia="仿宋" w:cs="仿宋"/>
                <w:snapToGrid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napToGrid/>
                <w:sz w:val="24"/>
                <w:highlight w:val="none"/>
              </w:rPr>
              <w:t>年1月1日至今，每承担过</w:t>
            </w:r>
            <w:r>
              <w:rPr>
                <w:rFonts w:hint="eastAsia" w:ascii="仿宋" w:hAnsi="仿宋" w:eastAsia="仿宋" w:cs="仿宋"/>
                <w:snapToGrid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napToGrid/>
                <w:sz w:val="24"/>
                <w:highlight w:val="none"/>
              </w:rPr>
              <w:t>个</w:t>
            </w:r>
            <w:r>
              <w:rPr>
                <w:rFonts w:hint="eastAsia" w:ascii="仿宋" w:hAnsi="仿宋" w:eastAsia="仿宋" w:cs="仿宋"/>
                <w:snapToGrid/>
                <w:sz w:val="24"/>
                <w:highlight w:val="none"/>
                <w:lang w:val="en-US" w:eastAsia="zh-CN"/>
              </w:rPr>
              <w:t>总投资超过2000万元的</w:t>
            </w:r>
            <w:r>
              <w:rPr>
                <w:rFonts w:hint="eastAsia" w:ascii="仿宋" w:hAnsi="仿宋" w:eastAsia="仿宋" w:cs="仿宋"/>
                <w:snapToGrid/>
                <w:sz w:val="24"/>
                <w:highlight w:val="none"/>
                <w:lang w:eastAsia="zh-CN"/>
              </w:rPr>
              <w:t>房建</w:t>
            </w:r>
            <w:r>
              <w:rPr>
                <w:rFonts w:hint="eastAsia" w:ascii="仿宋" w:hAnsi="仿宋" w:eastAsia="仿宋" w:cs="仿宋"/>
                <w:snapToGrid/>
                <w:sz w:val="24"/>
                <w:highlight w:val="none"/>
              </w:rPr>
              <w:t>设计项目相关业绩得</w:t>
            </w:r>
            <w:r>
              <w:rPr>
                <w:rFonts w:hint="eastAsia" w:ascii="仿宋" w:hAnsi="仿宋" w:eastAsia="仿宋" w:cs="仿宋"/>
                <w:snapToGrid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sz w:val="24"/>
                <w:highlight w:val="none"/>
              </w:rPr>
              <w:t>分，</w:t>
            </w:r>
            <w:r>
              <w:rPr>
                <w:rFonts w:hint="eastAsia" w:ascii="仿宋" w:hAnsi="仿宋" w:eastAsia="仿宋" w:cs="仿宋"/>
                <w:snapToGrid/>
                <w:sz w:val="24"/>
                <w:highlight w:val="none"/>
                <w:lang w:val="en-US" w:eastAsia="zh-CN"/>
              </w:rPr>
              <w:t>总投资低于2000万元的房建设计项目相关业绩得3分，</w:t>
            </w:r>
            <w:r>
              <w:rPr>
                <w:rFonts w:hint="eastAsia" w:ascii="仿宋" w:hAnsi="仿宋" w:eastAsia="仿宋" w:cs="仿宋"/>
                <w:snapToGrid/>
                <w:sz w:val="24"/>
                <w:highlight w:val="none"/>
              </w:rPr>
              <w:t>本项最高得</w:t>
            </w:r>
            <w:r>
              <w:rPr>
                <w:rFonts w:hint="eastAsia" w:ascii="仿宋" w:hAnsi="仿宋" w:eastAsia="仿宋" w:cs="仿宋"/>
                <w:snapToGrid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napToGrid/>
                <w:sz w:val="24"/>
                <w:highlight w:val="none"/>
              </w:rPr>
              <w:t>分。</w:t>
            </w:r>
          </w:p>
          <w:p>
            <w:pPr>
              <w:pStyle w:val="8"/>
              <w:wordWrap/>
              <w:spacing w:line="312" w:lineRule="auto"/>
              <w:ind w:left="68"/>
              <w:rPr>
                <w:rFonts w:hint="eastAsia" w:ascii="仿宋" w:hAnsi="仿宋" w:eastAsia="仿宋" w:cs="仿宋"/>
                <w:b/>
                <w:bCs/>
                <w:snapToGrid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sz w:val="24"/>
                <w:highlight w:val="none"/>
              </w:rPr>
              <w:t>注：提供合同复印件或中标（成交）通知书复印件，并加盖供应商公章。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napToGrid/>
                <w:sz w:val="24"/>
                <w:highlight w:val="none"/>
                <w:lang w:val="en-US" w:eastAsia="zh-CN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共同评</w:t>
            </w:r>
          </w:p>
          <w:p>
            <w:pPr>
              <w:spacing w:line="312" w:lineRule="auto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2"/>
              </w:tabs>
              <w:spacing w:line="312" w:lineRule="auto"/>
              <w:ind w:right="-42" w:rightChars="-2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tabs>
                <w:tab w:val="left" w:pos="322"/>
              </w:tabs>
              <w:spacing w:line="312" w:lineRule="auto"/>
              <w:ind w:right="-42" w:rightChars="-20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tabs>
                <w:tab w:val="left" w:pos="322"/>
              </w:tabs>
              <w:spacing w:line="312" w:lineRule="auto"/>
              <w:ind w:right="-42" w:rightChars="-20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tabs>
                <w:tab w:val="left" w:pos="322"/>
              </w:tabs>
              <w:spacing w:line="312" w:lineRule="auto"/>
              <w:ind w:right="-42" w:rightChars="-20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tabs>
                <w:tab w:val="left" w:pos="322"/>
              </w:tabs>
              <w:spacing w:line="312" w:lineRule="auto"/>
              <w:ind w:right="-42" w:rightChars="-20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tabs>
                <w:tab w:val="left" w:pos="322"/>
              </w:tabs>
              <w:spacing w:line="312" w:lineRule="auto"/>
              <w:ind w:right="-42" w:rightChars="-20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tabs>
                <w:tab w:val="left" w:pos="322"/>
              </w:tabs>
              <w:spacing w:line="312" w:lineRule="auto"/>
              <w:ind w:right="-42" w:rightChars="-20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1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供应商服务能力（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</w:rPr>
              <w:t>%）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spacing w:line="312" w:lineRule="auto"/>
              <w:jc w:val="left"/>
              <w:rPr>
                <w:rFonts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1、拟派项目负责人：具备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一级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注册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建筑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工程师（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房建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工程）执业资格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的得3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分，具备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具有高级建筑师资格证书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及以上技术职称加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分，本项满分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分。</w:t>
            </w:r>
          </w:p>
          <w:p>
            <w:pPr>
              <w:pStyle w:val="9"/>
              <w:wordWrap w:val="0"/>
              <w:spacing w:line="312" w:lineRule="auto"/>
              <w:jc w:val="left"/>
              <w:rPr>
                <w:rFonts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2、拟派结构专业负责人：具备一级注册结构工程师执业资格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的得3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分，具备注册土木工程师（岩土）执业资格加2分, 具备工程类高级及以上技术职称加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分，本项满分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分。</w:t>
            </w:r>
          </w:p>
          <w:p>
            <w:pPr>
              <w:pStyle w:val="9"/>
              <w:wordWrap w:val="0"/>
              <w:spacing w:line="312" w:lineRule="auto"/>
              <w:jc w:val="left"/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3、拟派电气专业负责人：具备注册电气工程师（供配电）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的得2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分，具备工程类高级及以上技术职称加1分，本项满分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分。</w:t>
            </w:r>
          </w:p>
          <w:p>
            <w:pPr>
              <w:pStyle w:val="9"/>
              <w:wordWrap w:val="0"/>
              <w:spacing w:line="312" w:lineRule="auto"/>
              <w:jc w:val="left"/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4、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拟派给排水专业负责人：具备注册公用设备工程师（给水排水）注册证书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的得2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分，具备工程类高级及以上技术职称加1分，本项满分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分。</w:t>
            </w:r>
          </w:p>
          <w:p>
            <w:pPr>
              <w:pStyle w:val="9"/>
              <w:wordWrap w:val="0"/>
              <w:spacing w:line="312" w:lineRule="auto"/>
              <w:jc w:val="left"/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5、拟派造价专业负责人：具备注册一级造价工程师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的得2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分，具备工程类高级及以上技术职称加1分，本项满分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sz w:val="24"/>
                <w:highlight w:val="none"/>
                <w:lang w:val="en-US" w:bidi="ar-SA"/>
              </w:rPr>
              <w:t>分。</w:t>
            </w:r>
          </w:p>
          <w:p>
            <w:pPr>
              <w:pStyle w:val="9"/>
              <w:wordWrap w:val="0"/>
              <w:spacing w:line="312" w:lineRule="auto"/>
              <w:jc w:val="left"/>
              <w:rPr>
                <w:rFonts w:ascii="仿宋" w:hAnsi="仿宋" w:eastAsia="仿宋" w:cs="仿宋"/>
                <w:snapToGrid w:val="0"/>
                <w:sz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lang w:val="en-US" w:bidi="ar-SA"/>
              </w:rPr>
              <w:t>注：以上人员提供相关证明材料，并加盖投标人公章。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共同评</w:t>
            </w:r>
          </w:p>
          <w:p>
            <w:pPr>
              <w:spacing w:line="312" w:lineRule="auto"/>
              <w:jc w:val="center"/>
              <w:rPr>
                <w:rFonts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分因素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/>
    <w:p>
      <w:pPr>
        <w:pStyle w:val="6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</w:p>
    <w:p>
      <w:pPr>
        <w:pStyle w:val="6"/>
        <w:rPr>
          <w:rFonts w:ascii="仿宋" w:hAnsi="仿宋" w:eastAsia="仿宋" w:cs="仿宋"/>
          <w:b/>
          <w:color w:val="000000"/>
          <w:sz w:val="32"/>
          <w:szCs w:val="32"/>
        </w:rPr>
      </w:pPr>
    </w:p>
    <w:p>
      <w:pPr>
        <w:pStyle w:val="6"/>
        <w:rPr>
          <w:rFonts w:ascii="仿宋" w:hAnsi="仿宋" w:eastAsia="仿宋" w:cs="仿宋"/>
          <w:b/>
          <w:color w:val="000000"/>
          <w:sz w:val="32"/>
          <w:szCs w:val="32"/>
        </w:rPr>
      </w:pP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OGRlOThjOTE0MGExMWUwODc0YzBmNmZhYTU2ZDcifQ=="/>
  </w:docVars>
  <w:rsids>
    <w:rsidRoot w:val="3F0821CB"/>
    <w:rsid w:val="3F08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rFonts w:ascii="Times New Roman"/>
      <w:kern w:val="2"/>
      <w:sz w:val="21"/>
      <w:szCs w:val="21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13、表格内居中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jc w:val="center"/>
    </w:pPr>
    <w:rPr>
      <w:rFonts w:hint="eastAsia" w:hAnsi="宋体"/>
    </w:rPr>
  </w:style>
  <w:style w:type="paragraph" w:customStyle="1" w:styleId="8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rFonts w:hAnsi="宋体"/>
      <w:snapToGrid w:val="0"/>
    </w:rPr>
  </w:style>
  <w:style w:type="paragraph" w:customStyle="1" w:styleId="9">
    <w:name w:val="Table Paragraph"/>
    <w:basedOn w:val="1"/>
    <w:qFormat/>
    <w:uiPriority w:val="1"/>
    <w:rPr>
      <w:rFonts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2023-12-18T01:34:00Z</dcterms:created>
  <dc:creator>TT</dc:creator>
  <cp:lastModifiedBy>TT</cp:lastModifiedBy>
  <dcterms:modified xsi:type="dcterms:W3CDTF">2023-12-18T01:34:13Z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E0DB58A13E3C48099FB4F673C6064D66_11</vt:lpwstr>
  </property>
</Properties>
</file>